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F302" w14:textId="77777777" w:rsidR="00FC0989" w:rsidRDefault="00A82517">
      <w:pPr>
        <w:spacing w:after="0" w:line="259" w:lineRule="auto"/>
        <w:ind w:left="3" w:firstLine="0"/>
        <w:jc w:val="center"/>
      </w:pPr>
      <w:r>
        <w:rPr>
          <w:b/>
          <w:sz w:val="28"/>
          <w:u w:val="single" w:color="000000"/>
        </w:rPr>
        <w:t>MODEL INVESTMENT POLICY</w:t>
      </w:r>
      <w:r>
        <w:rPr>
          <w:b/>
          <w:sz w:val="28"/>
        </w:rPr>
        <w:t xml:space="preserve"> </w:t>
      </w:r>
    </w:p>
    <w:p w14:paraId="12665571" w14:textId="77777777" w:rsidR="00FC0989" w:rsidRDefault="00A82517">
      <w:pPr>
        <w:spacing w:after="0" w:line="259" w:lineRule="auto"/>
        <w:ind w:left="0" w:firstLine="0"/>
      </w:pPr>
      <w:r>
        <w:t xml:space="preserve"> </w:t>
      </w:r>
    </w:p>
    <w:p w14:paraId="7AE88EFD" w14:textId="77777777" w:rsidR="00FC0989" w:rsidRDefault="00A82517">
      <w:pPr>
        <w:spacing w:after="0" w:line="259" w:lineRule="auto"/>
        <w:ind w:left="0" w:firstLine="0"/>
      </w:pPr>
      <w:r>
        <w:t xml:space="preserve"> </w:t>
      </w:r>
    </w:p>
    <w:p w14:paraId="46C26FEE" w14:textId="77777777" w:rsidR="00FC0989" w:rsidRDefault="00A82517">
      <w:pPr>
        <w:pStyle w:val="Heading1"/>
        <w:ind w:left="-5"/>
      </w:pPr>
      <w:r>
        <w:t>(1)</w:t>
      </w:r>
      <w:r>
        <w:rPr>
          <w:rFonts w:ascii="Arial" w:eastAsia="Arial" w:hAnsi="Arial" w:cs="Arial"/>
        </w:rPr>
        <w:t xml:space="preserve"> </w:t>
      </w:r>
      <w:r>
        <w:t>GENERAL INVESTMENT POLICY</w:t>
      </w:r>
      <w:r>
        <w:rPr>
          <w:b w:val="0"/>
        </w:rPr>
        <w:t xml:space="preserve">   </w:t>
      </w:r>
    </w:p>
    <w:p w14:paraId="2C4CC638" w14:textId="2FA1D08C" w:rsidR="00FC0989" w:rsidRDefault="00A82517">
      <w:r>
        <w:t xml:space="preserve">It is the policy of the </w:t>
      </w:r>
      <w:r w:rsidR="0071759A">
        <w:t>City</w:t>
      </w:r>
      <w:r w:rsidR="00AF312B">
        <w:t xml:space="preserve"> of </w:t>
      </w:r>
      <w:r w:rsidR="0071759A">
        <w:t xml:space="preserve">[Participant] </w:t>
      </w:r>
      <w:r w:rsidR="00AF312B">
        <w:t>“</w:t>
      </w:r>
      <w:r w:rsidR="0071759A">
        <w:t>City</w:t>
      </w:r>
      <w:r w:rsidR="00AF312B">
        <w:t>”</w:t>
      </w:r>
      <w:r>
        <w:t xml:space="preserve"> to invest public funds in a manner which will provide the maximum security and highest investment of </w:t>
      </w:r>
      <w:r w:rsidR="0071759A">
        <w:t>principal</w:t>
      </w:r>
      <w:r>
        <w:t xml:space="preserve"> while meeting the daily cash flow demands on the </w:t>
      </w:r>
      <w:r w:rsidR="0071759A">
        <w:t>City</w:t>
      </w:r>
      <w:r>
        <w:t xml:space="preserve"> and conforming to both KRS 91A.060 and KRS 66.480. </w:t>
      </w:r>
    </w:p>
    <w:p w14:paraId="185D1422" w14:textId="77777777" w:rsidR="00FC0989" w:rsidRDefault="00A82517">
      <w:pPr>
        <w:spacing w:after="0" w:line="259" w:lineRule="auto"/>
        <w:ind w:left="0" w:firstLine="0"/>
      </w:pPr>
      <w:r>
        <w:t xml:space="preserve"> </w:t>
      </w:r>
    </w:p>
    <w:p w14:paraId="45DA2242" w14:textId="77777777" w:rsidR="00FC0989" w:rsidRDefault="00A82517">
      <w:pPr>
        <w:pStyle w:val="Heading1"/>
        <w:ind w:left="-5"/>
      </w:pPr>
      <w:r>
        <w:t>(2)</w:t>
      </w:r>
      <w:r>
        <w:rPr>
          <w:rFonts w:ascii="Arial" w:eastAsia="Arial" w:hAnsi="Arial" w:cs="Arial"/>
        </w:rPr>
        <w:t xml:space="preserve"> </w:t>
      </w:r>
      <w:r>
        <w:t xml:space="preserve">SCOPE </w:t>
      </w:r>
    </w:p>
    <w:p w14:paraId="79506C24" w14:textId="651A5B77" w:rsidR="00FC0989" w:rsidRDefault="00A82517" w:rsidP="00AF312B">
      <w:r>
        <w:t xml:space="preserve">This investment policy applies to all financial assets held directly by the </w:t>
      </w:r>
      <w:r w:rsidR="0071759A">
        <w:t>City</w:t>
      </w:r>
      <w:r>
        <w:t xml:space="preserve">. These financial assets are accounted for in the </w:t>
      </w:r>
      <w:r w:rsidR="0071759A">
        <w:t>City</w:t>
      </w:r>
      <w:r>
        <w:t>'s annual financial report</w:t>
      </w:r>
      <w:r w:rsidR="00AF312B">
        <w:t>.</w:t>
      </w:r>
    </w:p>
    <w:p w14:paraId="1D518C4E" w14:textId="77777777" w:rsidR="00FC0989" w:rsidRDefault="00A82517">
      <w:pPr>
        <w:spacing w:after="0" w:line="259" w:lineRule="auto"/>
        <w:ind w:left="0" w:firstLine="0"/>
      </w:pPr>
      <w:r>
        <w:t xml:space="preserve"> </w:t>
      </w:r>
    </w:p>
    <w:p w14:paraId="5C803D1D" w14:textId="77777777" w:rsidR="00FC0989" w:rsidRDefault="00A82517">
      <w:pPr>
        <w:pStyle w:val="Heading1"/>
        <w:ind w:left="-5"/>
      </w:pPr>
      <w:r>
        <w:t>(3)</w:t>
      </w:r>
      <w:r>
        <w:rPr>
          <w:rFonts w:ascii="Arial" w:eastAsia="Arial" w:hAnsi="Arial" w:cs="Arial"/>
        </w:rPr>
        <w:t xml:space="preserve"> </w:t>
      </w:r>
      <w:r>
        <w:t xml:space="preserve">INVESTMENT OBJECTIVES </w:t>
      </w:r>
    </w:p>
    <w:p w14:paraId="3EB564E4" w14:textId="0965C1BB" w:rsidR="00FC0989" w:rsidRDefault="00A82517" w:rsidP="004A6A35">
      <w:pPr>
        <w:spacing w:after="0" w:line="249" w:lineRule="auto"/>
        <w:ind w:left="10" w:right="36" w:firstLine="350"/>
      </w:pPr>
      <w:r>
        <w:t xml:space="preserve">The </w:t>
      </w:r>
      <w:r w:rsidR="0071759A">
        <w:t>City</w:t>
      </w:r>
      <w:r>
        <w:t xml:space="preserve">’s primary investment objectives, in order of priority, are the following: </w:t>
      </w:r>
    </w:p>
    <w:p w14:paraId="4FEC531F" w14:textId="77777777" w:rsidR="00FC0989" w:rsidRDefault="00A82517">
      <w:pPr>
        <w:spacing w:after="0" w:line="259" w:lineRule="auto"/>
        <w:ind w:left="720" w:firstLine="0"/>
      </w:pPr>
      <w:r>
        <w:t xml:space="preserve"> </w:t>
      </w:r>
    </w:p>
    <w:p w14:paraId="383DB35D" w14:textId="77777777" w:rsidR="00FC0989" w:rsidRDefault="00A82517">
      <w:pPr>
        <w:pStyle w:val="Heading2"/>
        <w:ind w:left="715"/>
      </w:pPr>
      <w:r>
        <w:t>3.1 Safety</w:t>
      </w:r>
      <w:r>
        <w:rPr>
          <w:u w:val="none"/>
        </w:rPr>
        <w:t xml:space="preserve">   </w:t>
      </w:r>
    </w:p>
    <w:p w14:paraId="3216CE3A" w14:textId="73939ED6" w:rsidR="00FC0989" w:rsidRDefault="00A82517">
      <w:pPr>
        <w:ind w:left="730"/>
      </w:pPr>
      <w:r>
        <w:t>Investments shall be undertaken in a manner that seeks to ensure the preservation of capital in the overall portfolio. The goal is to mitigate credit risk and interest rate risk</w:t>
      </w:r>
      <w:r w:rsidR="00AF312B">
        <w:t>.</w:t>
      </w:r>
      <w:r>
        <w:t xml:space="preserve"> </w:t>
      </w:r>
    </w:p>
    <w:p w14:paraId="2FF25FF0" w14:textId="77777777" w:rsidR="00FC0989" w:rsidRDefault="00A82517">
      <w:pPr>
        <w:spacing w:after="0" w:line="259" w:lineRule="auto"/>
        <w:ind w:left="720" w:firstLine="0"/>
      </w:pPr>
      <w:r>
        <w:t xml:space="preserve"> </w:t>
      </w:r>
    </w:p>
    <w:p w14:paraId="00573E00" w14:textId="77777777" w:rsidR="00FC0989" w:rsidRDefault="00A82517">
      <w:pPr>
        <w:pStyle w:val="Heading2"/>
        <w:ind w:left="715"/>
      </w:pPr>
      <w:r>
        <w:t>3.2 Liquidity</w:t>
      </w:r>
      <w:r>
        <w:rPr>
          <w:u w:val="none"/>
        </w:rPr>
        <w:t xml:space="preserve">   </w:t>
      </w:r>
    </w:p>
    <w:p w14:paraId="2DF2483D" w14:textId="026EFAF4" w:rsidR="00FC0989" w:rsidRDefault="00A82517">
      <w:pPr>
        <w:ind w:left="730"/>
      </w:pPr>
      <w:r>
        <w:t xml:space="preserve">The </w:t>
      </w:r>
      <w:r w:rsidR="0071759A">
        <w:t>City</w:t>
      </w:r>
      <w:r>
        <w:t xml:space="preserve">’s investment portfolio shall remain sufficiently liquid to enable the </w:t>
      </w:r>
      <w:r w:rsidR="0071759A">
        <w:t>City</w:t>
      </w:r>
      <w:r>
        <w:t xml:space="preserve"> to meet all operating </w:t>
      </w:r>
      <w:r w:rsidR="0071759A">
        <w:t>requirements,</w:t>
      </w:r>
      <w:r>
        <w:t xml:space="preserve"> which might be reasonably anticipated. </w:t>
      </w:r>
    </w:p>
    <w:p w14:paraId="42CA1584" w14:textId="77777777" w:rsidR="00FC0989" w:rsidRDefault="00A82517">
      <w:pPr>
        <w:spacing w:after="0" w:line="259" w:lineRule="auto"/>
        <w:ind w:left="720" w:firstLine="0"/>
      </w:pPr>
      <w:r>
        <w:t xml:space="preserve"> </w:t>
      </w:r>
    </w:p>
    <w:p w14:paraId="5DA84A82" w14:textId="77777777" w:rsidR="00FC0989" w:rsidRDefault="00A82517">
      <w:pPr>
        <w:pStyle w:val="Heading2"/>
        <w:ind w:left="715"/>
      </w:pPr>
      <w:r>
        <w:t>3.3 Return on Investment</w:t>
      </w:r>
      <w:r>
        <w:rPr>
          <w:u w:val="none"/>
        </w:rPr>
        <w:t xml:space="preserve">   </w:t>
      </w:r>
    </w:p>
    <w:p w14:paraId="1C3F4A1A" w14:textId="2736CBEE" w:rsidR="00FC0989" w:rsidRDefault="00A82517" w:rsidP="008D6375">
      <w:pPr>
        <w:spacing w:after="0" w:line="249" w:lineRule="auto"/>
        <w:ind w:left="720" w:firstLine="0"/>
      </w:pPr>
      <w:r>
        <w:t xml:space="preserve">The </w:t>
      </w:r>
      <w:r w:rsidR="0071759A">
        <w:t>City</w:t>
      </w:r>
      <w:r>
        <w:t xml:space="preserve">’s investment portfolio shall be designed with the objective of attaining a market rate of return throughout the budgetary and economic cycles, taking into account the </w:t>
      </w:r>
      <w:r w:rsidR="0071759A">
        <w:t>City</w:t>
      </w:r>
      <w:r>
        <w:t xml:space="preserve">’s investment risk constraints and the cash flow characteristics of the portfolio. </w:t>
      </w:r>
    </w:p>
    <w:p w14:paraId="430A7800" w14:textId="77777777" w:rsidR="00FC0989" w:rsidRDefault="00A82517">
      <w:pPr>
        <w:spacing w:after="0" w:line="259" w:lineRule="auto"/>
        <w:ind w:left="0" w:firstLine="0"/>
      </w:pPr>
      <w:r>
        <w:t xml:space="preserve">  </w:t>
      </w:r>
    </w:p>
    <w:p w14:paraId="354DCA4D" w14:textId="7C70321E" w:rsidR="00FC0989" w:rsidRDefault="00FC0989">
      <w:pPr>
        <w:spacing w:after="0" w:line="259" w:lineRule="auto"/>
        <w:ind w:left="0" w:firstLine="0"/>
      </w:pPr>
    </w:p>
    <w:p w14:paraId="0456CDFC" w14:textId="4F61DC4B" w:rsidR="00FC0989" w:rsidRDefault="00A82517">
      <w:pPr>
        <w:pStyle w:val="Heading1"/>
        <w:ind w:left="-5"/>
      </w:pPr>
      <w:r>
        <w:t>(</w:t>
      </w:r>
      <w:r w:rsidR="0071759A">
        <w:t>4</w:t>
      </w:r>
      <w:r>
        <w:t>)</w:t>
      </w:r>
      <w:r>
        <w:rPr>
          <w:rFonts w:ascii="Arial" w:eastAsia="Arial" w:hAnsi="Arial" w:cs="Arial"/>
        </w:rPr>
        <w:t xml:space="preserve"> </w:t>
      </w:r>
      <w:r>
        <w:t xml:space="preserve">STANDARDS OF CARE  </w:t>
      </w:r>
    </w:p>
    <w:p w14:paraId="1128E024" w14:textId="784CF931" w:rsidR="00FC0989" w:rsidRDefault="0071759A">
      <w:pPr>
        <w:pStyle w:val="Heading2"/>
        <w:ind w:left="715"/>
      </w:pPr>
      <w:r>
        <w:t>4.1 Prudence</w:t>
      </w:r>
      <w:r>
        <w:rPr>
          <w:u w:val="none"/>
        </w:rPr>
        <w:t xml:space="preserve">   </w:t>
      </w:r>
    </w:p>
    <w:p w14:paraId="682B8344" w14:textId="48DBC218" w:rsidR="00FC0989" w:rsidRDefault="00A82517">
      <w:pPr>
        <w:ind w:left="730"/>
      </w:pPr>
      <w:r>
        <w:t xml:space="preserve">The actions of the Designated Officials in the performance of their duties as </w:t>
      </w:r>
      <w:r w:rsidR="0071759A">
        <w:t>managers</w:t>
      </w:r>
      <w:r>
        <w:t xml:space="preserve"> of the </w:t>
      </w:r>
      <w:r w:rsidR="0071759A">
        <w:t>City</w:t>
      </w:r>
      <w:r>
        <w:t xml:space="preserve">’s funds shall be evaluated using the "prudent person" standard. Investments shall be made with judgment and care under prevailing circumstances which persons of prudence, discretion, and intelligence exercise in the management of their own affairs, not for speculation, but for investment considering the probable safety of their capital, </w:t>
      </w:r>
      <w:r w:rsidR="00592CD6">
        <w:t>as well as</w:t>
      </w:r>
      <w:r>
        <w:t xml:space="preserve"> the probable income to be derived. The Designated Officials, acting in accordance with written procedures, this investment policy, and exercising due diligence, </w:t>
      </w:r>
      <w:r>
        <w:t xml:space="preserve">shall be relieved of personal responsibility for an individual security's performance, provided that deviations from expectations are reported in a timely fashion to the governing body and appropriate action is taken to control adverse developments. </w:t>
      </w:r>
    </w:p>
    <w:p w14:paraId="6857BEC3" w14:textId="77777777" w:rsidR="00FC0989" w:rsidRDefault="00A82517">
      <w:pPr>
        <w:spacing w:after="0" w:line="259" w:lineRule="auto"/>
        <w:ind w:left="720" w:firstLine="0"/>
      </w:pPr>
      <w:r>
        <w:t xml:space="preserve"> </w:t>
      </w:r>
    </w:p>
    <w:p w14:paraId="093E30BC" w14:textId="04AE9DBC" w:rsidR="00FC0989" w:rsidRDefault="0071759A">
      <w:pPr>
        <w:pStyle w:val="Heading2"/>
        <w:ind w:left="715"/>
      </w:pPr>
      <w:r>
        <w:lastRenderedPageBreak/>
        <w:t>4.2 Ethics and Conflicts of Interest</w:t>
      </w:r>
      <w:r>
        <w:rPr>
          <w:u w:val="none"/>
        </w:rPr>
        <w:t xml:space="preserve">  </w:t>
      </w:r>
    </w:p>
    <w:p w14:paraId="31E0535F" w14:textId="6DCA5782" w:rsidR="00FC0989" w:rsidRDefault="00A82517">
      <w:pPr>
        <w:ind w:left="730"/>
      </w:pPr>
      <w:r>
        <w:t>Officers and employees involved in the investment process shall refrain from personal activity that could conflict with the proper execution and management of the investment program, or that could impair their ability to make impartial investment decisions. Employees and investment officials shall disclose any material interests in financial institutions with which they conduct business. Disclosure shall be made to the governing body. They shall further disclose any personal financial/investment positions t</w:t>
      </w:r>
      <w:r>
        <w:t xml:space="preserve">hat could be related to the performance of the investment portfolio. Employees and officers shall refrain from undertaking any personal investment transactions with the same individual with whom business is conducted on behalf of the </w:t>
      </w:r>
      <w:r w:rsidR="0071759A">
        <w:t>City</w:t>
      </w:r>
      <w:r>
        <w:t xml:space="preserve">. </w:t>
      </w:r>
    </w:p>
    <w:p w14:paraId="05EB2A66" w14:textId="77777777" w:rsidR="00FC0989" w:rsidRDefault="00A82517">
      <w:pPr>
        <w:spacing w:after="0" w:line="259" w:lineRule="auto"/>
        <w:ind w:left="720" w:firstLine="0"/>
      </w:pPr>
      <w:r>
        <w:t xml:space="preserve"> </w:t>
      </w:r>
    </w:p>
    <w:p w14:paraId="5D383D26" w14:textId="39E5E002" w:rsidR="00AF312B" w:rsidRDefault="0071759A">
      <w:pPr>
        <w:pStyle w:val="Heading2"/>
        <w:ind w:left="715"/>
        <w:rPr>
          <w:u w:val="none"/>
        </w:rPr>
      </w:pPr>
      <w:r>
        <w:t>4.3 Delegation of Authority</w:t>
      </w:r>
      <w:r>
        <w:rPr>
          <w:u w:val="none"/>
        </w:rPr>
        <w:t xml:space="preserve">  </w:t>
      </w:r>
    </w:p>
    <w:p w14:paraId="29C63817" w14:textId="114D4AB8" w:rsidR="00FC0989" w:rsidRDefault="00A82517" w:rsidP="0071759A">
      <w:pPr>
        <w:pStyle w:val="Heading2"/>
        <w:ind w:left="1060" w:firstLine="5"/>
      </w:pPr>
      <w:r>
        <w:rPr>
          <w:u w:val="none"/>
        </w:rPr>
        <w:t>a)</w:t>
      </w:r>
      <w:r>
        <w:rPr>
          <w:rFonts w:ascii="Arial" w:eastAsia="Arial" w:hAnsi="Arial" w:cs="Arial"/>
          <w:u w:val="none"/>
        </w:rPr>
        <w:t xml:space="preserve"> </w:t>
      </w:r>
      <w:r>
        <w:t>Governing Body</w:t>
      </w:r>
      <w:r>
        <w:rPr>
          <w:u w:val="none"/>
        </w:rPr>
        <w:t xml:space="preserve">  </w:t>
      </w:r>
    </w:p>
    <w:p w14:paraId="34628433" w14:textId="2E2F5144" w:rsidR="00FC0989" w:rsidRDefault="00A82517">
      <w:pPr>
        <w:ind w:left="1075"/>
      </w:pPr>
      <w:r>
        <w:t xml:space="preserve">The governing body will retain ultimate fiduciary responsibility for the portfolios. The governing body will receive reports, designate Designated </w:t>
      </w:r>
      <w:r w:rsidR="0071759A">
        <w:t>Officials,</w:t>
      </w:r>
      <w:r>
        <w:t xml:space="preserve"> and review the investment policy making any changes necessary by adoption.  </w:t>
      </w:r>
    </w:p>
    <w:p w14:paraId="42767B0F" w14:textId="77777777" w:rsidR="00FC0989" w:rsidRDefault="00A82517">
      <w:pPr>
        <w:spacing w:after="0" w:line="259" w:lineRule="auto"/>
        <w:ind w:left="1080" w:firstLine="0"/>
      </w:pPr>
      <w:r>
        <w:t xml:space="preserve"> </w:t>
      </w:r>
    </w:p>
    <w:p w14:paraId="565BC2D1" w14:textId="77777777" w:rsidR="00FC0989" w:rsidRDefault="00A82517">
      <w:pPr>
        <w:pStyle w:val="Heading2"/>
        <w:ind w:left="1090"/>
      </w:pPr>
      <w:r>
        <w:rPr>
          <w:u w:val="none"/>
        </w:rPr>
        <w:t>b)</w:t>
      </w:r>
      <w:r>
        <w:rPr>
          <w:rFonts w:ascii="Arial" w:eastAsia="Arial" w:hAnsi="Arial" w:cs="Arial"/>
          <w:u w:val="none"/>
        </w:rPr>
        <w:t xml:space="preserve"> </w:t>
      </w:r>
      <w:r>
        <w:t>Designated Officials</w:t>
      </w:r>
      <w:r>
        <w:rPr>
          <w:u w:val="none"/>
        </w:rPr>
        <w:t xml:space="preserve"> </w:t>
      </w:r>
    </w:p>
    <w:p w14:paraId="194DBA00" w14:textId="68B55913" w:rsidR="00FC0989" w:rsidRDefault="00A82517">
      <w:pPr>
        <w:ind w:left="1075"/>
      </w:pPr>
      <w:r>
        <w:t xml:space="preserve">Authority to manage the investment program is granted to the </w:t>
      </w:r>
      <w:r w:rsidR="0071759A">
        <w:t>[Designated Official 1]</w:t>
      </w:r>
      <w:r>
        <w:t xml:space="preserve"> and the </w:t>
      </w:r>
      <w:r w:rsidR="0071759A">
        <w:t>[Designated Official 2]</w:t>
      </w:r>
      <w:r>
        <w:t xml:space="preserve">, hereinafter referred to as Designated Officials as designated by this </w:t>
      </w:r>
      <w:r w:rsidR="0071759A">
        <w:t>City</w:t>
      </w:r>
      <w:r>
        <w:t xml:space="preserve"> </w:t>
      </w:r>
      <w:r w:rsidR="00AF312B">
        <w:t>policy</w:t>
      </w:r>
      <w:r>
        <w:t>. Responsibility for the operation of the investment program is hereby delegated to the Designated Officials who shall act in accordance with established written procedures and internal controls for the operation of the investment program consistent with this investment policy. Officers will prepare</w:t>
      </w:r>
      <w:r w:rsidR="00AF312B">
        <w:t xml:space="preserve"> </w:t>
      </w:r>
      <w:r>
        <w:t xml:space="preserve">investment reports and other special reports as may be deemed necessary. </w:t>
      </w:r>
      <w:r>
        <w:t xml:space="preserve">All participants in the investment process shall seek to act responsibly as custodians of the public trust. No officer or designee may engage in an investment transaction except as provided under the terms of this policy and supporting procedures.  </w:t>
      </w:r>
    </w:p>
    <w:p w14:paraId="55E53EF5" w14:textId="77777777" w:rsidR="00FC0989" w:rsidRDefault="00A82517">
      <w:pPr>
        <w:spacing w:after="0" w:line="259" w:lineRule="auto"/>
        <w:ind w:left="720" w:firstLine="0"/>
      </w:pPr>
      <w:r>
        <w:t xml:space="preserve"> </w:t>
      </w:r>
    </w:p>
    <w:p w14:paraId="56AD163E" w14:textId="77777777" w:rsidR="00FC0989" w:rsidRDefault="00A82517">
      <w:pPr>
        <w:pStyle w:val="Heading2"/>
        <w:ind w:left="1090"/>
      </w:pPr>
      <w:r>
        <w:rPr>
          <w:u w:val="none"/>
        </w:rPr>
        <w:t>c)</w:t>
      </w:r>
      <w:r>
        <w:rPr>
          <w:rFonts w:ascii="Arial" w:eastAsia="Arial" w:hAnsi="Arial" w:cs="Arial"/>
          <w:u w:val="none"/>
        </w:rPr>
        <w:t xml:space="preserve"> </w:t>
      </w:r>
      <w:r>
        <w:t>Investment Adviser</w:t>
      </w:r>
      <w:r>
        <w:rPr>
          <w:u w:val="none"/>
        </w:rPr>
        <w:t xml:space="preserve">  </w:t>
      </w:r>
    </w:p>
    <w:p w14:paraId="493B2F2D" w14:textId="4639F7CF" w:rsidR="00FC0989" w:rsidRDefault="00A82517">
      <w:pPr>
        <w:ind w:left="1075"/>
      </w:pPr>
      <w:r>
        <w:t xml:space="preserve">The </w:t>
      </w:r>
      <w:r w:rsidR="0071759A">
        <w:t>City</w:t>
      </w:r>
      <w:r>
        <w:t xml:space="preserve"> may engage the services of one or more external investment managers to assist in the management of the entity’s investment portfolio in a manner consistent with the </w:t>
      </w:r>
      <w:r w:rsidR="0071759A">
        <w:t>City</w:t>
      </w:r>
      <w:r>
        <w:t xml:space="preserve">’s objectives. Such external managers may be granted discretion to purchase and sell investment securities in accordance with this investment policy. Such managers must be registered under the Investment Advisers Act of 1940. </w:t>
      </w:r>
    </w:p>
    <w:p w14:paraId="7E8DA557" w14:textId="77777777" w:rsidR="00FC0989" w:rsidRDefault="00A82517">
      <w:pPr>
        <w:spacing w:after="0" w:line="259" w:lineRule="auto"/>
        <w:ind w:left="720" w:firstLine="0"/>
      </w:pPr>
      <w:r>
        <w:t xml:space="preserve"> </w:t>
      </w:r>
    </w:p>
    <w:p w14:paraId="1B0CEC33" w14:textId="42CF74BC" w:rsidR="00FC0989" w:rsidRDefault="00A82517">
      <w:pPr>
        <w:pStyle w:val="Heading1"/>
        <w:ind w:left="345" w:hanging="360"/>
      </w:pPr>
      <w:r>
        <w:t>(</w:t>
      </w:r>
      <w:r w:rsidR="0071759A">
        <w:t>5</w:t>
      </w:r>
      <w:r>
        <w:t>)</w:t>
      </w:r>
      <w:r>
        <w:rPr>
          <w:rFonts w:ascii="Arial" w:eastAsia="Arial" w:hAnsi="Arial" w:cs="Arial"/>
        </w:rPr>
        <w:t xml:space="preserve"> </w:t>
      </w:r>
      <w:r>
        <w:t xml:space="preserve">AUTHORIZED FINANCIAL INSTITUTIONS, DEPOSITORIES, AND BROKERS/DEALERS </w:t>
      </w:r>
    </w:p>
    <w:p w14:paraId="53FEA3B9" w14:textId="6C9DBC7F" w:rsidR="00FC0989" w:rsidRDefault="00FC0989">
      <w:pPr>
        <w:spacing w:after="0" w:line="259" w:lineRule="auto"/>
        <w:ind w:left="0" w:firstLine="0"/>
      </w:pPr>
    </w:p>
    <w:p w14:paraId="6ADBC21A" w14:textId="36ED4CAC" w:rsidR="00FC0989" w:rsidRDefault="0071759A" w:rsidP="0071759A">
      <w:pPr>
        <w:ind w:left="720" w:firstLine="0"/>
      </w:pPr>
      <w:r>
        <w:rPr>
          <w:u w:val="single" w:color="000000"/>
        </w:rPr>
        <w:t>5.1</w:t>
      </w:r>
      <w:r>
        <w:t xml:space="preserve"> The Designated Officials shall determine which financial institutions are authorized to provide investment services to the City</w:t>
      </w:r>
      <w:r w:rsidR="00AF312B">
        <w:t xml:space="preserve"> by conducting a process of due diligence</w:t>
      </w:r>
      <w:r>
        <w:t>.</w:t>
      </w:r>
      <w:r w:rsidR="00AF312B">
        <w:t xml:space="preserve"> These may include primary dealers or regional dealers that qualify</w:t>
      </w:r>
      <w:r w:rsidR="00C2582C">
        <w:t xml:space="preserve"> under the Securities and Exchange Commission Rule 15C3-1.</w:t>
      </w:r>
      <w:r>
        <w:t xml:space="preserve"> Institutions eligible to transact investment business with City</w:t>
      </w:r>
      <w:r w:rsidR="00AF312B">
        <w:t xml:space="preserve"> may</w:t>
      </w:r>
      <w:r>
        <w:t xml:space="preserve"> include:  </w:t>
      </w:r>
    </w:p>
    <w:p w14:paraId="0BB24DBE" w14:textId="77777777" w:rsidR="00FC0989" w:rsidRDefault="00A82517">
      <w:pPr>
        <w:numPr>
          <w:ilvl w:val="1"/>
          <w:numId w:val="2"/>
        </w:numPr>
        <w:ind w:hanging="360"/>
      </w:pPr>
      <w:r>
        <w:lastRenderedPageBreak/>
        <w:t xml:space="preserve">Primary government dealers as designated by the Federal Reserve Bank;  </w:t>
      </w:r>
    </w:p>
    <w:p w14:paraId="525D33E2" w14:textId="77777777" w:rsidR="00FC0989" w:rsidRDefault="00A82517">
      <w:pPr>
        <w:numPr>
          <w:ilvl w:val="1"/>
          <w:numId w:val="2"/>
        </w:numPr>
        <w:ind w:hanging="360"/>
      </w:pPr>
      <w:r>
        <w:t xml:space="preserve">Nationally or state-chartered banks;  </w:t>
      </w:r>
    </w:p>
    <w:p w14:paraId="5C9C5857" w14:textId="77777777" w:rsidR="00FC0989" w:rsidRDefault="00A82517">
      <w:pPr>
        <w:numPr>
          <w:ilvl w:val="1"/>
          <w:numId w:val="2"/>
        </w:numPr>
        <w:ind w:hanging="360"/>
      </w:pPr>
      <w:r>
        <w:t xml:space="preserve">The Federal Reserve Bank;  </w:t>
      </w:r>
    </w:p>
    <w:p w14:paraId="74F5E961" w14:textId="77777777" w:rsidR="00FC0989" w:rsidRDefault="00A82517">
      <w:pPr>
        <w:numPr>
          <w:ilvl w:val="1"/>
          <w:numId w:val="2"/>
        </w:numPr>
        <w:ind w:hanging="360"/>
      </w:pPr>
      <w:r>
        <w:t xml:space="preserve">Direct issuers of securities eligible for purchase; and </w:t>
      </w:r>
    </w:p>
    <w:p w14:paraId="19071E09" w14:textId="6CEC79CA" w:rsidR="00FC0989" w:rsidRDefault="00A82517">
      <w:pPr>
        <w:numPr>
          <w:ilvl w:val="1"/>
          <w:numId w:val="2"/>
        </w:numPr>
        <w:ind w:hanging="360"/>
      </w:pPr>
      <w:r>
        <w:t>Kentucky League of Cities Investment Pool Plus</w:t>
      </w:r>
      <w:r w:rsidR="00620ADC">
        <w:t xml:space="preserve">. </w:t>
      </w:r>
    </w:p>
    <w:p w14:paraId="22CC1204" w14:textId="77777777" w:rsidR="00C2582C" w:rsidRDefault="00C2582C" w:rsidP="0071759A"/>
    <w:p w14:paraId="4117F30C" w14:textId="27334241" w:rsidR="00FC0989" w:rsidRDefault="0071759A">
      <w:pPr>
        <w:ind w:left="730"/>
      </w:pPr>
      <w:r>
        <w:rPr>
          <w:u w:val="single" w:color="000000"/>
        </w:rPr>
        <w:t>5.2</w:t>
      </w:r>
      <w:r>
        <w:t xml:space="preserve"> Selection of financial institutions and broker/dealers authorized to engage in transactions with the City shall be at the sole discretion of the City</w:t>
      </w:r>
      <w:r w:rsidR="00592CD6">
        <w:t xml:space="preserve">. </w:t>
      </w:r>
    </w:p>
    <w:p w14:paraId="4ED3DA8A" w14:textId="77777777" w:rsidR="00FC0989" w:rsidRDefault="00A82517">
      <w:pPr>
        <w:spacing w:after="0" w:line="259" w:lineRule="auto"/>
        <w:ind w:left="720" w:firstLine="0"/>
      </w:pPr>
      <w:r>
        <w:t xml:space="preserve"> </w:t>
      </w:r>
    </w:p>
    <w:p w14:paraId="3073CF67" w14:textId="69EC942C" w:rsidR="00FC0989" w:rsidRDefault="0071759A">
      <w:pPr>
        <w:ind w:left="730"/>
      </w:pPr>
      <w:r>
        <w:rPr>
          <w:u w:val="single" w:color="000000"/>
        </w:rPr>
        <w:t>5.3</w:t>
      </w:r>
      <w:r>
        <w:t xml:space="preserve"> All brokers/dealers who desire to become qualified for investment transactions must supply the following</w:t>
      </w:r>
      <w:r w:rsidR="00C2582C">
        <w:t>,</w:t>
      </w:r>
      <w:r>
        <w:t xml:space="preserve"> as appropriate:  </w:t>
      </w:r>
    </w:p>
    <w:p w14:paraId="65E87224" w14:textId="77777777" w:rsidR="00FC0989" w:rsidRDefault="00A82517">
      <w:pPr>
        <w:numPr>
          <w:ilvl w:val="0"/>
          <w:numId w:val="3"/>
        </w:numPr>
        <w:spacing w:after="55"/>
        <w:ind w:hanging="360"/>
      </w:pPr>
      <w:r>
        <w:t xml:space="preserve">Audited financial statements demonstrating compliance with state and federal capital adequacy guidelines;  </w:t>
      </w:r>
    </w:p>
    <w:p w14:paraId="216FB31C" w14:textId="77777777" w:rsidR="00FC0989" w:rsidRDefault="00A82517">
      <w:pPr>
        <w:numPr>
          <w:ilvl w:val="0"/>
          <w:numId w:val="3"/>
        </w:numPr>
        <w:ind w:hanging="360"/>
      </w:pPr>
      <w:r>
        <w:t xml:space="preserve">Proof of state registration;  </w:t>
      </w:r>
    </w:p>
    <w:p w14:paraId="5536FF74" w14:textId="77777777" w:rsidR="00FC0989" w:rsidRDefault="00A82517">
      <w:pPr>
        <w:numPr>
          <w:ilvl w:val="0"/>
          <w:numId w:val="3"/>
        </w:numPr>
        <w:spacing w:after="55"/>
        <w:ind w:hanging="360"/>
      </w:pPr>
      <w:r>
        <w:t xml:space="preserve">Completed broker/dealer questionnaire (not applicable to Certificate of Deposit counterparties); </w:t>
      </w:r>
    </w:p>
    <w:p w14:paraId="39F2ED84" w14:textId="77777777" w:rsidR="00FC0989" w:rsidRDefault="00A82517">
      <w:pPr>
        <w:numPr>
          <w:ilvl w:val="0"/>
          <w:numId w:val="3"/>
        </w:numPr>
        <w:spacing w:after="53"/>
        <w:ind w:hanging="360"/>
      </w:pPr>
      <w:r>
        <w:t xml:space="preserve">Certification of having read and understood and agreeing to comply with the entity's investment policy; and  </w:t>
      </w:r>
    </w:p>
    <w:p w14:paraId="378EBBC4" w14:textId="4647B331" w:rsidR="00FC0989" w:rsidRDefault="00A82517">
      <w:pPr>
        <w:numPr>
          <w:ilvl w:val="0"/>
          <w:numId w:val="3"/>
        </w:numPr>
        <w:spacing w:after="183"/>
        <w:ind w:hanging="360"/>
      </w:pPr>
      <w:r>
        <w:t>Evidence of adequate insurance coverage</w:t>
      </w:r>
      <w:r w:rsidR="00620ADC">
        <w:t xml:space="preserve">. </w:t>
      </w:r>
    </w:p>
    <w:p w14:paraId="79C62DBC" w14:textId="33FD4842" w:rsidR="00FC0989" w:rsidRDefault="0071759A">
      <w:pPr>
        <w:ind w:left="730"/>
      </w:pPr>
      <w:r>
        <w:rPr>
          <w:u w:val="single" w:color="000000"/>
        </w:rPr>
        <w:t>5.4</w:t>
      </w:r>
      <w:r>
        <w:t xml:space="preserve"> All financial institutions who desire to become depositories must supply the following</w:t>
      </w:r>
      <w:r w:rsidR="00C2582C">
        <w:t xml:space="preserve">, </w:t>
      </w:r>
      <w:r>
        <w:t xml:space="preserve">as appropriate:  </w:t>
      </w:r>
    </w:p>
    <w:p w14:paraId="42D575D7" w14:textId="77777777" w:rsidR="00FC0989" w:rsidRDefault="00A82517">
      <w:pPr>
        <w:numPr>
          <w:ilvl w:val="0"/>
          <w:numId w:val="3"/>
        </w:numPr>
        <w:spacing w:after="55"/>
        <w:ind w:hanging="360"/>
      </w:pPr>
      <w:r>
        <w:t xml:space="preserve">Audited financial statements demonstrating compliance with state and federal capital adequacy guidelines;  </w:t>
      </w:r>
    </w:p>
    <w:p w14:paraId="12168C5B" w14:textId="77777777" w:rsidR="00FC0989" w:rsidRDefault="00A82517">
      <w:pPr>
        <w:numPr>
          <w:ilvl w:val="0"/>
          <w:numId w:val="3"/>
        </w:numPr>
        <w:ind w:hanging="360"/>
      </w:pPr>
      <w:r>
        <w:t xml:space="preserve">Proof of state registration; and  </w:t>
      </w:r>
    </w:p>
    <w:p w14:paraId="06132AF8" w14:textId="77777777" w:rsidR="00FC0989" w:rsidRDefault="00A82517">
      <w:pPr>
        <w:numPr>
          <w:ilvl w:val="0"/>
          <w:numId w:val="3"/>
        </w:numPr>
        <w:spacing w:after="183"/>
        <w:ind w:hanging="360"/>
      </w:pPr>
      <w:r>
        <w:t xml:space="preserve">Evidence of adequate insurance coverage. </w:t>
      </w:r>
    </w:p>
    <w:p w14:paraId="28643081" w14:textId="16C9D183" w:rsidR="00FC0989" w:rsidRDefault="0071759A">
      <w:pPr>
        <w:ind w:left="730"/>
      </w:pPr>
      <w:r>
        <w:rPr>
          <w:u w:val="single" w:color="000000"/>
        </w:rPr>
        <w:t>5.5</w:t>
      </w:r>
      <w:r>
        <w:t xml:space="preserve"> A periodic review of the financial condition and registration of all qualified financial institutions and broker/dealers will be conducted by the Designated Officials. </w:t>
      </w:r>
    </w:p>
    <w:p w14:paraId="66950DA7" w14:textId="77777777" w:rsidR="0071759A" w:rsidRDefault="0071759A">
      <w:pPr>
        <w:ind w:left="730"/>
      </w:pPr>
    </w:p>
    <w:p w14:paraId="796AAD8D" w14:textId="2123304C" w:rsidR="00FC0989" w:rsidRDefault="00A82517">
      <w:pPr>
        <w:pStyle w:val="Heading1"/>
        <w:ind w:left="-5"/>
      </w:pPr>
      <w:r>
        <w:t>(</w:t>
      </w:r>
      <w:r w:rsidR="0071759A">
        <w:t>6</w:t>
      </w:r>
      <w:r>
        <w:t xml:space="preserve">) SAFEKEEPING AND CUSTODY </w:t>
      </w:r>
    </w:p>
    <w:p w14:paraId="0C90F27C" w14:textId="5E009372" w:rsidR="00FC0989" w:rsidRDefault="0071759A">
      <w:pPr>
        <w:pStyle w:val="Heading2"/>
        <w:ind w:left="715"/>
      </w:pPr>
      <w:r>
        <w:t>6.1 Delivery vs. Payment</w:t>
      </w:r>
      <w:r>
        <w:rPr>
          <w:u w:val="none"/>
        </w:rPr>
        <w:t xml:space="preserve">  </w:t>
      </w:r>
    </w:p>
    <w:p w14:paraId="2FB3470E" w14:textId="18BE3993" w:rsidR="00FC0989" w:rsidRDefault="00A82517">
      <w:pPr>
        <w:ind w:left="730"/>
      </w:pPr>
      <w:r>
        <w:t>All trades of marketable securities will be executed (cleared and settled) on a delivery vs. payment  basis to ensure that securities are deposited in the entity’s safekeeping institution prior to the release of funds</w:t>
      </w:r>
      <w:r w:rsidR="00620ADC">
        <w:t xml:space="preserve">. </w:t>
      </w:r>
      <w:r>
        <w:t xml:space="preserve"> </w:t>
      </w:r>
    </w:p>
    <w:p w14:paraId="0BB9ACEB" w14:textId="77777777" w:rsidR="00FC0989" w:rsidRDefault="00A82517">
      <w:pPr>
        <w:spacing w:after="0" w:line="259" w:lineRule="auto"/>
        <w:ind w:left="720" w:firstLine="0"/>
      </w:pPr>
      <w:r>
        <w:t xml:space="preserve"> </w:t>
      </w:r>
    </w:p>
    <w:p w14:paraId="6D2B7C20" w14:textId="57257353" w:rsidR="00FC0989" w:rsidRDefault="0071759A">
      <w:pPr>
        <w:pStyle w:val="Heading2"/>
        <w:ind w:left="715"/>
      </w:pPr>
      <w:r>
        <w:t>6.2 Third-Party Safekeeping</w:t>
      </w:r>
      <w:r>
        <w:rPr>
          <w:u w:val="none"/>
        </w:rPr>
        <w:t xml:space="preserve">   </w:t>
      </w:r>
    </w:p>
    <w:p w14:paraId="3845BFC7" w14:textId="082A06FD" w:rsidR="00FC0989" w:rsidRDefault="00A82517">
      <w:pPr>
        <w:ind w:left="730"/>
      </w:pPr>
      <w:r>
        <w:t xml:space="preserve">Securities will be held by an independent third-party safekeeping institution selected by the </w:t>
      </w:r>
      <w:r w:rsidR="0071759A">
        <w:t>City</w:t>
      </w:r>
      <w:r>
        <w:t xml:space="preserve">. All securities will be evidenced by safekeeping receipts in the name of the </w:t>
      </w:r>
      <w:r w:rsidR="0071759A">
        <w:t>City</w:t>
      </w:r>
      <w:r>
        <w:t xml:space="preserve">. The safekeeping institution shall annually provide a copy of its most recent report on internal controls - Service Organization Control Reports prepared in accordance with the Statement on Standards for Attestation Engagements  No. 16.  </w:t>
      </w:r>
    </w:p>
    <w:p w14:paraId="66DAFB59" w14:textId="77777777" w:rsidR="00FC0989" w:rsidRDefault="00A82517">
      <w:pPr>
        <w:spacing w:after="0" w:line="259" w:lineRule="auto"/>
        <w:ind w:left="720" w:firstLine="0"/>
      </w:pPr>
      <w:r>
        <w:t xml:space="preserve"> </w:t>
      </w:r>
    </w:p>
    <w:p w14:paraId="79E97F2A" w14:textId="52C61B1B" w:rsidR="00FC0989" w:rsidRDefault="0071759A">
      <w:pPr>
        <w:pStyle w:val="Heading2"/>
        <w:ind w:left="715"/>
      </w:pPr>
      <w:r>
        <w:lastRenderedPageBreak/>
        <w:t>6.3 Internal Controls</w:t>
      </w:r>
      <w:r>
        <w:rPr>
          <w:u w:val="none"/>
        </w:rPr>
        <w:t xml:space="preserve">  </w:t>
      </w:r>
    </w:p>
    <w:p w14:paraId="0DC05570" w14:textId="6A0F054F" w:rsidR="00FC0989" w:rsidRDefault="00A82517">
      <w:pPr>
        <w:ind w:left="730"/>
      </w:pPr>
      <w:r>
        <w:t xml:space="preserve">Management shall establish a system of internal controls, which shall be documented in writing. The internal controls shall be reviewed by the investment committee, where present, and with the independent auditor. The controls shall be designed to prevent the loss of public funds arising from fraud, employee error, and misrepresentation by third parties, unanticipated changes in financial markets, or imprudent actions by employees and officers of the </w:t>
      </w:r>
      <w:r w:rsidR="0071759A">
        <w:t>City</w:t>
      </w:r>
      <w:r w:rsidR="00592CD6">
        <w:t xml:space="preserve">. </w:t>
      </w:r>
    </w:p>
    <w:p w14:paraId="269A61D0" w14:textId="77777777" w:rsidR="00FC0989" w:rsidRDefault="00A82517">
      <w:pPr>
        <w:spacing w:after="0" w:line="259" w:lineRule="auto"/>
        <w:ind w:left="720" w:firstLine="0"/>
      </w:pPr>
      <w:r>
        <w:t xml:space="preserve"> </w:t>
      </w:r>
    </w:p>
    <w:p w14:paraId="0BA71DEA" w14:textId="150AC07D" w:rsidR="00FC0989" w:rsidRDefault="00A82517">
      <w:pPr>
        <w:pStyle w:val="Heading1"/>
        <w:ind w:left="-5"/>
      </w:pPr>
      <w:r>
        <w:t>(</w:t>
      </w:r>
      <w:r w:rsidR="0071759A">
        <w:t>7</w:t>
      </w:r>
      <w:r>
        <w:t xml:space="preserve">) SUITABLE AND AUTHORIZED INVESTMENTS  </w:t>
      </w:r>
    </w:p>
    <w:p w14:paraId="25335A13" w14:textId="5887418B" w:rsidR="00FC0989" w:rsidRDefault="0071759A">
      <w:pPr>
        <w:pStyle w:val="Heading2"/>
        <w:ind w:left="715"/>
      </w:pPr>
      <w:r>
        <w:t>7.1 Investment Types and Credit Guidelines</w:t>
      </w:r>
      <w:r>
        <w:rPr>
          <w:u w:val="none"/>
        </w:rPr>
        <w:t xml:space="preserve">  </w:t>
      </w:r>
    </w:p>
    <w:p w14:paraId="3540B1B7" w14:textId="0DEE8217" w:rsidR="004A6A35" w:rsidRDefault="00A82517">
      <w:pPr>
        <w:ind w:left="730"/>
      </w:pPr>
      <w:r>
        <w:t xml:space="preserve">Consistent with Kentucky laws and </w:t>
      </w:r>
      <w:r w:rsidR="0071759A">
        <w:t>City</w:t>
      </w:r>
      <w:r>
        <w:t xml:space="preserve"> </w:t>
      </w:r>
      <w:r w:rsidR="00C2582C">
        <w:t xml:space="preserve">policies </w:t>
      </w:r>
      <w:r>
        <w:t xml:space="preserve">concerning investment practices, </w:t>
      </w:r>
      <w:r w:rsidR="00C2582C">
        <w:t xml:space="preserve">only </w:t>
      </w:r>
      <w:r>
        <w:t xml:space="preserve">investments as defined by KRS </w:t>
      </w:r>
      <w:r>
        <w:t>66.480, are allowed</w:t>
      </w:r>
      <w:r w:rsidR="004A6A35">
        <w:t>, those being:</w:t>
      </w:r>
    </w:p>
    <w:p w14:paraId="1A2F2B28" w14:textId="77777777" w:rsidR="00EB1B66" w:rsidRDefault="00EB1B66" w:rsidP="00EB1B66">
      <w:pPr>
        <w:numPr>
          <w:ilvl w:val="0"/>
          <w:numId w:val="5"/>
        </w:numPr>
        <w:ind w:hanging="360"/>
      </w:pPr>
      <w:r>
        <w:t xml:space="preserve">U.S. government obligations and instrumentalities including obligations subject to repurchase, if delivery of these obligations is taken directly or through an authorized custodian. KRS 66.480(1)(a). </w:t>
      </w:r>
    </w:p>
    <w:p w14:paraId="1E97585A" w14:textId="77777777" w:rsidR="00EB1B66" w:rsidRDefault="00EB1B66" w:rsidP="00EB1B66">
      <w:pPr>
        <w:numPr>
          <w:ilvl w:val="0"/>
          <w:numId w:val="5"/>
        </w:numPr>
        <w:ind w:hanging="360"/>
      </w:pPr>
      <w:r>
        <w:t xml:space="preserve">U.S. Treasury and other U.S. government obligations that carry the full faith and credit guarantee of the United States for the payment of principal and interest. KRS 66.480(1)(b). </w:t>
      </w:r>
    </w:p>
    <w:p w14:paraId="2F253EBA" w14:textId="77777777" w:rsidR="00EB1B66" w:rsidRDefault="00EB1B66" w:rsidP="00EB1B66">
      <w:pPr>
        <w:numPr>
          <w:ilvl w:val="0"/>
          <w:numId w:val="5"/>
        </w:numPr>
        <w:ind w:hanging="360"/>
      </w:pPr>
      <w:r>
        <w:t xml:space="preserve">Federal Agency or U.S. government-sponsored enterprises (GSE) obligations, participations or other instruments. KRS 66.480(1)(c). </w:t>
      </w:r>
    </w:p>
    <w:p w14:paraId="42E42ABB" w14:textId="77777777" w:rsidR="00EB1B66" w:rsidRDefault="00EB1B66" w:rsidP="00EB1B66">
      <w:pPr>
        <w:numPr>
          <w:ilvl w:val="0"/>
          <w:numId w:val="5"/>
        </w:numPr>
        <w:ind w:hanging="360"/>
      </w:pPr>
      <w:r>
        <w:t xml:space="preserve">CDs issued by or other interest-bearing accounts of any bank or savings </w:t>
      </w:r>
    </w:p>
    <w:p w14:paraId="46481483" w14:textId="77777777" w:rsidR="00EB1B66" w:rsidRDefault="00EB1B66" w:rsidP="00EB1B66">
      <w:pPr>
        <w:ind w:left="1450"/>
      </w:pPr>
      <w:r>
        <w:t xml:space="preserve">and loan institution having a physical presence in Kentucky and that are insured by the Federal Deposit Insurance Corporation or similar entity or that are collateralized by any obligations, including surety bonds, permitted by KRS 41.240. KRS 66.480(1)(d). </w:t>
      </w:r>
    </w:p>
    <w:p w14:paraId="5647B17E" w14:textId="77777777" w:rsidR="00EB1B66" w:rsidRDefault="00EB1B66" w:rsidP="00EB1B66">
      <w:pPr>
        <w:numPr>
          <w:ilvl w:val="0"/>
          <w:numId w:val="5"/>
        </w:numPr>
        <w:ind w:hanging="360"/>
      </w:pPr>
      <w:r>
        <w:t xml:space="preserve">Uncollateralized CDs issued by any bank or savings and loan having a physical presence in Kentucky rated in one of three highest categories by a competent rating agency. KRS 66.480(1)(e). </w:t>
      </w:r>
    </w:p>
    <w:p w14:paraId="177108B1" w14:textId="77777777" w:rsidR="00EB1B66" w:rsidRDefault="00EB1B66" w:rsidP="00EB1B66">
      <w:pPr>
        <w:numPr>
          <w:ilvl w:val="0"/>
          <w:numId w:val="5"/>
        </w:numPr>
        <w:ind w:hanging="360"/>
      </w:pPr>
      <w:r>
        <w:t xml:space="preserve">Bankers' acceptances, which must be rated in one of the three highest categories by a competent rating agency. KRS 66.480(1)(f).  </w:t>
      </w:r>
    </w:p>
    <w:p w14:paraId="66672093" w14:textId="77777777" w:rsidR="00EB1B66" w:rsidRDefault="00EB1B66" w:rsidP="00EB1B66">
      <w:pPr>
        <w:numPr>
          <w:ilvl w:val="0"/>
          <w:numId w:val="5"/>
        </w:numPr>
        <w:ind w:hanging="360"/>
      </w:pPr>
      <w:r>
        <w:t xml:space="preserve">Commercial paper, rated in the highest tier (e.g., A-1, P-1, F-1, or D-1 or higher) by a competent rating organization. KRS 66.480(1)(g). </w:t>
      </w:r>
    </w:p>
    <w:p w14:paraId="1D59A309" w14:textId="77777777" w:rsidR="00EB1B66" w:rsidRDefault="00EB1B66" w:rsidP="00EB1B66">
      <w:pPr>
        <w:numPr>
          <w:ilvl w:val="0"/>
          <w:numId w:val="5"/>
        </w:numPr>
        <w:ind w:hanging="360"/>
      </w:pPr>
      <w:r>
        <w:t xml:space="preserve">Bonds or certificates of indebtedness of this state and of its agencies and instrumentalities. KRS 66.480(1)(h). </w:t>
      </w:r>
    </w:p>
    <w:p w14:paraId="12D05EDF" w14:textId="77777777" w:rsidR="00EB1B66" w:rsidRDefault="00EB1B66" w:rsidP="00EB1B66">
      <w:pPr>
        <w:numPr>
          <w:ilvl w:val="0"/>
          <w:numId w:val="5"/>
        </w:numPr>
        <w:ind w:hanging="360"/>
      </w:pPr>
      <w:r>
        <w:t xml:space="preserve">Investment-grade obligations of state or local governments or instrumentality thereof rated one of three highest categories by a competent rating agency. KRS 66.480(1)(i). </w:t>
      </w:r>
    </w:p>
    <w:p w14:paraId="5ED4593E" w14:textId="77777777" w:rsidR="00EB1B66" w:rsidRDefault="00EB1B66" w:rsidP="00EB1B66">
      <w:pPr>
        <w:numPr>
          <w:ilvl w:val="0"/>
          <w:numId w:val="5"/>
        </w:numPr>
        <w:ind w:hanging="360"/>
      </w:pPr>
      <w:r>
        <w:t xml:space="preserve">Shares of mutual funds and exchange traded funds as identified by KRS </w:t>
      </w:r>
    </w:p>
    <w:p w14:paraId="13707D43" w14:textId="77777777" w:rsidR="00EB1B66" w:rsidRDefault="00EB1B66" w:rsidP="00EB1B66">
      <w:pPr>
        <w:ind w:left="1450"/>
      </w:pPr>
      <w:r>
        <w:t xml:space="preserve">66.480(1)(j). </w:t>
      </w:r>
    </w:p>
    <w:p w14:paraId="5D822FBB" w14:textId="77777777" w:rsidR="00EB1B66" w:rsidRDefault="00EB1B66" w:rsidP="00EB1B66">
      <w:pPr>
        <w:numPr>
          <w:ilvl w:val="0"/>
          <w:numId w:val="5"/>
        </w:numPr>
        <w:ind w:hanging="360"/>
      </w:pPr>
      <w:r>
        <w:t xml:space="preserve">Individual equity securities if the funds are managed by a professional investment manager regulated by a federal regulatory agency and are included within the S&amp;P 500 pursuant to KRS 66.480(1)(k). </w:t>
      </w:r>
    </w:p>
    <w:p w14:paraId="666E0235" w14:textId="77777777" w:rsidR="00EB1B66" w:rsidRDefault="00EB1B66" w:rsidP="00EB1B66">
      <w:pPr>
        <w:numPr>
          <w:ilvl w:val="0"/>
          <w:numId w:val="5"/>
        </w:numPr>
        <w:spacing w:after="227"/>
        <w:ind w:hanging="360"/>
      </w:pPr>
      <w:r>
        <w:t xml:space="preserve">Individual high-quality corporate bonds managed by a professional investment manager pursuant to KRS 66.480(1)(l). </w:t>
      </w:r>
    </w:p>
    <w:p w14:paraId="554A761A" w14:textId="77777777" w:rsidR="0071759A" w:rsidRDefault="0071759A">
      <w:pPr>
        <w:ind w:left="730"/>
      </w:pPr>
    </w:p>
    <w:p w14:paraId="47554DE3" w14:textId="18AD8EC2" w:rsidR="00C2582C" w:rsidRPr="0071759A" w:rsidRDefault="0071759A">
      <w:pPr>
        <w:ind w:left="730"/>
        <w:rPr>
          <w:u w:val="single"/>
        </w:rPr>
      </w:pPr>
      <w:r w:rsidRPr="0071759A">
        <w:rPr>
          <w:u w:val="single"/>
        </w:rPr>
        <w:t>7</w:t>
      </w:r>
      <w:r w:rsidR="00C2582C" w:rsidRPr="0071759A">
        <w:rPr>
          <w:u w:val="single"/>
        </w:rPr>
        <w:t>.2 Credit Considerations</w:t>
      </w:r>
    </w:p>
    <w:p w14:paraId="7E93A7F4" w14:textId="3922E747" w:rsidR="00FC0989" w:rsidRDefault="00A82517">
      <w:pPr>
        <w:ind w:left="730"/>
      </w:pPr>
      <w:r>
        <w:t xml:space="preserve">If the credit rating of a security is subsequently downgraded below the minimum rating level for a new investment of that security, the Designated Officials shall evaluate the downgrade on a case-by-case basis </w:t>
      </w:r>
      <w:r w:rsidR="00185EF4">
        <w:t>to</w:t>
      </w:r>
      <w:r>
        <w:t xml:space="preserve"> determine if the security should be held or sold. The Designated Officials will apply the general objectives of safety, liquidity, </w:t>
      </w:r>
      <w:r w:rsidR="0071759A">
        <w:t>yield,</w:t>
      </w:r>
      <w:r>
        <w:t xml:space="preserve"> and legality to make the decision.  </w:t>
      </w:r>
    </w:p>
    <w:p w14:paraId="019F4152" w14:textId="77777777" w:rsidR="00FC0989" w:rsidRDefault="00A82517">
      <w:pPr>
        <w:spacing w:after="0" w:line="259" w:lineRule="auto"/>
        <w:ind w:left="720" w:firstLine="0"/>
      </w:pPr>
      <w:r>
        <w:t xml:space="preserve"> </w:t>
      </w:r>
    </w:p>
    <w:p w14:paraId="55998CC7" w14:textId="52E065E7" w:rsidR="00FC0989" w:rsidRDefault="0071759A">
      <w:pPr>
        <w:pStyle w:val="Heading2"/>
        <w:ind w:left="715"/>
      </w:pPr>
      <w:r>
        <w:t>7.</w:t>
      </w:r>
      <w:r w:rsidR="00C2582C">
        <w:t>3</w:t>
      </w:r>
      <w:r>
        <w:t xml:space="preserve"> Collateralization</w:t>
      </w:r>
      <w:r>
        <w:rPr>
          <w:u w:val="none"/>
        </w:rPr>
        <w:t xml:space="preserve">  </w:t>
      </w:r>
    </w:p>
    <w:p w14:paraId="7EBA8BA7" w14:textId="4ED83AE8" w:rsidR="00FC0989" w:rsidRDefault="00A82517">
      <w:pPr>
        <w:ind w:left="730"/>
      </w:pPr>
      <w:r>
        <w:t xml:space="preserve">Where required by Kentucky law full collateralization will be required on all demand deposit accounts, including checking accounts and negotiable and non-negotiable certificates of deposit.  Acceptable collateral for bank deposits and repurchase agreements shall include only:  </w:t>
      </w:r>
    </w:p>
    <w:p w14:paraId="558C7768" w14:textId="3EA90FF6" w:rsidR="00FC0989" w:rsidRDefault="00A82517">
      <w:pPr>
        <w:numPr>
          <w:ilvl w:val="0"/>
          <w:numId w:val="6"/>
        </w:numPr>
        <w:spacing w:after="53"/>
        <w:ind w:hanging="360"/>
      </w:pPr>
      <w:r>
        <w:t xml:space="preserve">Obligations of the U.S. government, its </w:t>
      </w:r>
      <w:r w:rsidR="0071759A">
        <w:t>agencies,</w:t>
      </w:r>
      <w:r>
        <w:t xml:space="preserve"> and </w:t>
      </w:r>
      <w:r w:rsidR="00FE0737">
        <w:t>Government-Sponsored Entities</w:t>
      </w:r>
      <w:r>
        <w:t xml:space="preserve">, including mortgage-backed securities; or  </w:t>
      </w:r>
    </w:p>
    <w:p w14:paraId="7C0BF5DC" w14:textId="76D63298" w:rsidR="009A4243" w:rsidRDefault="00A82517">
      <w:pPr>
        <w:numPr>
          <w:ilvl w:val="0"/>
          <w:numId w:val="6"/>
        </w:numPr>
        <w:spacing w:after="224"/>
        <w:ind w:hanging="360"/>
      </w:pPr>
      <w:r>
        <w:t xml:space="preserve">Obligations of any state, </w:t>
      </w:r>
      <w:r w:rsidR="0071759A">
        <w:t>City</w:t>
      </w:r>
      <w:r>
        <w:t xml:space="preserve">, </w:t>
      </w:r>
      <w:r w:rsidR="00D6363F">
        <w:t>county,</w:t>
      </w:r>
      <w:r>
        <w:t xml:space="preserve"> or authority rated at least </w:t>
      </w:r>
      <w:r w:rsidR="00D6363F">
        <w:t xml:space="preserve">in one (1) of the two (2) highest categories </w:t>
      </w:r>
      <w:r>
        <w:t xml:space="preserve">by two nationally recognized </w:t>
      </w:r>
      <w:r w:rsidR="0071759A">
        <w:t>competent credit</w:t>
      </w:r>
      <w:r w:rsidR="00FE0737">
        <w:t xml:space="preserve"> </w:t>
      </w:r>
      <w:r>
        <w:t xml:space="preserve">rating organizations. </w:t>
      </w:r>
    </w:p>
    <w:p w14:paraId="12E1A3D8" w14:textId="3A64E148" w:rsidR="009A4243" w:rsidRDefault="0071759A" w:rsidP="0071759A">
      <w:pPr>
        <w:pStyle w:val="Heading2"/>
        <w:ind w:left="715"/>
      </w:pPr>
      <w:r>
        <w:t>7</w:t>
      </w:r>
      <w:r w:rsidR="009A4243">
        <w:t>.4 Diversification</w:t>
      </w:r>
    </w:p>
    <w:p w14:paraId="08CDC6CC" w14:textId="21459E58" w:rsidR="00FC0989" w:rsidRPr="0071759A" w:rsidRDefault="009A4243" w:rsidP="0071759A">
      <w:pPr>
        <w:pStyle w:val="Heading2"/>
        <w:ind w:left="720" w:hanging="15"/>
        <w:rPr>
          <w:u w:val="none"/>
        </w:rPr>
      </w:pPr>
      <w:r w:rsidRPr="0071759A">
        <w:rPr>
          <w:u w:val="none"/>
        </w:rPr>
        <w:t xml:space="preserve">It is the policy of the </w:t>
      </w:r>
      <w:r w:rsidR="0071759A">
        <w:rPr>
          <w:u w:val="none"/>
        </w:rPr>
        <w:t>City</w:t>
      </w:r>
      <w:r w:rsidRPr="0071759A">
        <w:rPr>
          <w:u w:val="none"/>
        </w:rPr>
        <w:t xml:space="preserve"> to diversify its investment portfolios. To eliminate </w:t>
      </w:r>
      <w:r w:rsidR="0071759A" w:rsidRPr="0071759A">
        <w:rPr>
          <w:u w:val="none"/>
        </w:rPr>
        <w:t>the risk</w:t>
      </w:r>
      <w:r w:rsidRPr="0071759A">
        <w:rPr>
          <w:u w:val="none"/>
        </w:rPr>
        <w:t xml:space="preserve"> of loss resulting from the over-concentration of assets in a specific maturity, issuer, or class of securities, all cash and cash equivalent assets in all </w:t>
      </w:r>
      <w:r w:rsidR="0071759A">
        <w:rPr>
          <w:u w:val="none"/>
        </w:rPr>
        <w:t>City</w:t>
      </w:r>
      <w:r w:rsidRPr="0071759A">
        <w:rPr>
          <w:u w:val="none"/>
        </w:rPr>
        <w:t xml:space="preserve"> funds shall be diversified by maturity, issuer, and security type. Diversification strategies shall be determined and revised periodically by the </w:t>
      </w:r>
      <w:r w:rsidR="0071759A">
        <w:rPr>
          <w:u w:val="none"/>
        </w:rPr>
        <w:t xml:space="preserve">Designated Officials and or investment committee </w:t>
      </w:r>
      <w:r w:rsidRPr="0071759A">
        <w:rPr>
          <w:u w:val="none"/>
        </w:rPr>
        <w:t xml:space="preserve">for all funds except for the employee retirement fund. </w:t>
      </w:r>
    </w:p>
    <w:p w14:paraId="595036CE" w14:textId="77777777" w:rsidR="00FC0989" w:rsidRDefault="00A82517">
      <w:pPr>
        <w:spacing w:after="0" w:line="259" w:lineRule="auto"/>
        <w:ind w:left="0" w:firstLine="0"/>
      </w:pPr>
      <w:r>
        <w:t xml:space="preserve"> </w:t>
      </w:r>
    </w:p>
    <w:p w14:paraId="3A53F307" w14:textId="78CA7410" w:rsidR="00FC0989" w:rsidRDefault="00FC0989">
      <w:pPr>
        <w:spacing w:after="0" w:line="259" w:lineRule="auto"/>
        <w:ind w:left="720" w:firstLine="0"/>
      </w:pPr>
    </w:p>
    <w:p w14:paraId="419F1BD9" w14:textId="12E412E5" w:rsidR="00FC0989" w:rsidRDefault="00A82517">
      <w:pPr>
        <w:pStyle w:val="Heading1"/>
        <w:ind w:left="-5"/>
      </w:pPr>
      <w:r>
        <w:t>(</w:t>
      </w:r>
      <w:r w:rsidR="00EB1B66">
        <w:t>8</w:t>
      </w:r>
      <w:r>
        <w:t xml:space="preserve">) PERFORMANCE STANDARDS/EVALUATION </w:t>
      </w:r>
    </w:p>
    <w:p w14:paraId="0FFC388A" w14:textId="38175629" w:rsidR="00FC0989" w:rsidRDefault="00A82517">
      <w:pPr>
        <w:ind w:left="10"/>
      </w:pPr>
      <w:r>
        <w:t xml:space="preserve">The </w:t>
      </w:r>
      <w:r w:rsidR="0071759A">
        <w:t>City</w:t>
      </w:r>
      <w:r>
        <w:t xml:space="preserve">’s investment management portfolio shall be designed with the levels of risk appropriate to conform to performance benchmarks while meeting cash flow demands and </w:t>
      </w:r>
      <w:r w:rsidR="00185EF4">
        <w:t>complying</w:t>
      </w:r>
      <w:r>
        <w:t xml:space="preserve"> with state law</w:t>
      </w:r>
      <w:r w:rsidR="001A48CA">
        <w:t xml:space="preserve">. </w:t>
      </w:r>
      <w:r>
        <w:t xml:space="preserve">  </w:t>
      </w:r>
    </w:p>
    <w:p w14:paraId="5A11BE67" w14:textId="77777777" w:rsidR="00FC0989" w:rsidRDefault="00A82517">
      <w:pPr>
        <w:spacing w:after="0" w:line="259" w:lineRule="auto"/>
        <w:ind w:left="0" w:firstLine="0"/>
      </w:pPr>
      <w:r>
        <w:rPr>
          <w:b/>
        </w:rPr>
        <w:t xml:space="preserve"> </w:t>
      </w:r>
    </w:p>
    <w:p w14:paraId="03D628C4" w14:textId="44B6E3EE" w:rsidR="00D6363F" w:rsidRDefault="00A82517">
      <w:pPr>
        <w:pStyle w:val="Heading1"/>
        <w:ind w:left="-5"/>
      </w:pPr>
      <w:r>
        <w:t>(</w:t>
      </w:r>
      <w:r w:rsidR="00EB1B66">
        <w:t>9</w:t>
      </w:r>
      <w:r>
        <w:t>) REPORTING/DISCLOSURE</w:t>
      </w:r>
    </w:p>
    <w:p w14:paraId="75C25F10" w14:textId="58E6F775" w:rsidR="00FC0989" w:rsidRPr="0071759A" w:rsidRDefault="00D6363F">
      <w:pPr>
        <w:pStyle w:val="Heading1"/>
        <w:ind w:left="-5"/>
        <w:rPr>
          <w:b w:val="0"/>
          <w:bCs/>
        </w:rPr>
      </w:pPr>
      <w:r w:rsidRPr="0071759A">
        <w:rPr>
          <w:b w:val="0"/>
          <w:bCs/>
        </w:rPr>
        <w:t xml:space="preserve">The </w:t>
      </w:r>
      <w:r w:rsidR="009A4243">
        <w:rPr>
          <w:b w:val="0"/>
          <w:bCs/>
        </w:rPr>
        <w:t>D</w:t>
      </w:r>
      <w:r>
        <w:rPr>
          <w:b w:val="0"/>
          <w:bCs/>
        </w:rPr>
        <w:t xml:space="preserve">esignated </w:t>
      </w:r>
      <w:r w:rsidR="009A4243">
        <w:rPr>
          <w:b w:val="0"/>
          <w:bCs/>
        </w:rPr>
        <w:t>O</w:t>
      </w:r>
      <w:r>
        <w:rPr>
          <w:b w:val="0"/>
          <w:bCs/>
        </w:rPr>
        <w:t>fficial</w:t>
      </w:r>
      <w:r w:rsidR="00FE0737">
        <w:rPr>
          <w:b w:val="0"/>
          <w:bCs/>
        </w:rPr>
        <w:t>s</w:t>
      </w:r>
      <w:r w:rsidRPr="0071759A">
        <w:rPr>
          <w:b w:val="0"/>
          <w:bCs/>
        </w:rPr>
        <w:t xml:space="preserve"> shall prepare an investment report at least quarterly, including a management summary that provides an analysis of the status of the current investment portfolio and the individual transactions executed over the last quarter. This management summary will be prepared in a manner which will allow the </w:t>
      </w:r>
      <w:r w:rsidR="0071759A">
        <w:rPr>
          <w:b w:val="0"/>
          <w:bCs/>
        </w:rPr>
        <w:t>City</w:t>
      </w:r>
      <w:r w:rsidRPr="0071759A">
        <w:rPr>
          <w:b w:val="0"/>
          <w:bCs/>
        </w:rPr>
        <w:t xml:space="preserve"> to ascertain whether investment activities during the reporting period have conformed to the investment policy. </w:t>
      </w:r>
    </w:p>
    <w:p w14:paraId="102FC8B4" w14:textId="688F6CDE" w:rsidR="00FC0989" w:rsidRDefault="00FC0989">
      <w:pPr>
        <w:spacing w:after="0" w:line="259" w:lineRule="auto"/>
        <w:ind w:left="720" w:firstLine="0"/>
      </w:pPr>
    </w:p>
    <w:p w14:paraId="1433528C" w14:textId="0687FEC0" w:rsidR="00FC0989" w:rsidRDefault="00A82517">
      <w:pPr>
        <w:pStyle w:val="Heading1"/>
        <w:ind w:left="-5"/>
      </w:pPr>
      <w:r>
        <w:lastRenderedPageBreak/>
        <w:t>(</w:t>
      </w:r>
      <w:r w:rsidR="0071759A">
        <w:t>1</w:t>
      </w:r>
      <w:r w:rsidR="00EB1B66">
        <w:t>0</w:t>
      </w:r>
      <w:r>
        <w:t xml:space="preserve">) POLICY CONSIDERATIONS </w:t>
      </w:r>
    </w:p>
    <w:p w14:paraId="0FF27E55" w14:textId="5CAE89AA" w:rsidR="00FC0989" w:rsidRDefault="00A82517">
      <w:pPr>
        <w:pStyle w:val="Heading2"/>
        <w:ind w:left="715"/>
      </w:pPr>
      <w:r>
        <w:t>1</w:t>
      </w:r>
      <w:r w:rsidR="00213BA2">
        <w:t>0</w:t>
      </w:r>
      <w:r>
        <w:t>.1 Exemption</w:t>
      </w:r>
      <w:r>
        <w:rPr>
          <w:u w:val="none"/>
        </w:rPr>
        <w:t xml:space="preserve">  </w:t>
      </w:r>
    </w:p>
    <w:p w14:paraId="64E54291" w14:textId="30C7B327" w:rsidR="00FC0989" w:rsidRDefault="00A82517">
      <w:pPr>
        <w:ind w:left="730"/>
      </w:pPr>
      <w:r>
        <w:t>Any investment currently held that does not meet the guidelines of this policy shall be exempted from the requirements of this policy. At maturity or liquidation, such monies shall be reinvested only as provided by this policy</w:t>
      </w:r>
      <w:r w:rsidR="001A48CA">
        <w:t xml:space="preserve">. </w:t>
      </w:r>
    </w:p>
    <w:p w14:paraId="4A379DA6" w14:textId="77777777" w:rsidR="00FC0989" w:rsidRDefault="00A82517">
      <w:pPr>
        <w:spacing w:after="0" w:line="259" w:lineRule="auto"/>
        <w:ind w:left="720" w:firstLine="0"/>
      </w:pPr>
      <w:r>
        <w:t xml:space="preserve"> </w:t>
      </w:r>
    </w:p>
    <w:p w14:paraId="52A7D580" w14:textId="6070D556" w:rsidR="00FC0989" w:rsidRDefault="00A82517">
      <w:pPr>
        <w:pStyle w:val="Heading2"/>
        <w:ind w:left="715"/>
      </w:pPr>
      <w:r>
        <w:t>1</w:t>
      </w:r>
      <w:r w:rsidR="00213BA2">
        <w:t>0</w:t>
      </w:r>
      <w:r>
        <w:t>.2 Amendments</w:t>
      </w:r>
      <w:r>
        <w:rPr>
          <w:u w:val="none"/>
        </w:rPr>
        <w:t xml:space="preserve">  </w:t>
      </w:r>
    </w:p>
    <w:p w14:paraId="0BB6746F" w14:textId="7E02ECBE" w:rsidR="00FC0989" w:rsidRDefault="00A82517">
      <w:pPr>
        <w:ind w:left="730"/>
      </w:pPr>
      <w:r>
        <w:t xml:space="preserve">This policy shall be reviewed on an annual basis. Any changes </w:t>
      </w:r>
      <w:r>
        <w:t>must be approved by the Designated Officials and any other appropriate authority, as well as the individuals charged with maintaining internal controls</w:t>
      </w:r>
      <w:r w:rsidR="001A48CA">
        <w:t xml:space="preserve">. </w:t>
      </w:r>
    </w:p>
    <w:p w14:paraId="719D6D22" w14:textId="77777777" w:rsidR="00FC0989" w:rsidRDefault="00A82517">
      <w:pPr>
        <w:spacing w:after="0" w:line="259" w:lineRule="auto"/>
        <w:ind w:left="720" w:firstLine="0"/>
      </w:pPr>
      <w:r>
        <w:t xml:space="preserve"> </w:t>
      </w:r>
    </w:p>
    <w:p w14:paraId="3F70B500" w14:textId="2B041EC3" w:rsidR="00FC0989" w:rsidRDefault="00A82517">
      <w:pPr>
        <w:pStyle w:val="Heading1"/>
        <w:ind w:left="-5"/>
      </w:pPr>
      <w:r>
        <w:t>(</w:t>
      </w:r>
      <w:r w:rsidR="0071759A">
        <w:t>1</w:t>
      </w:r>
      <w:r w:rsidR="00EB1B66">
        <w:t>1</w:t>
      </w:r>
      <w:r>
        <w:t xml:space="preserve">) APPROVAL OF INVESTMENT POLICY </w:t>
      </w:r>
    </w:p>
    <w:p w14:paraId="61DCA062" w14:textId="4DE8C0B6" w:rsidR="00FC0989" w:rsidRDefault="00A82517">
      <w:pPr>
        <w:ind w:left="10"/>
      </w:pPr>
      <w:r>
        <w:t xml:space="preserve">The investment policy and any modifications to that policy shall be formally approved and adopted by the governing body of the </w:t>
      </w:r>
      <w:r w:rsidR="0071759A">
        <w:t>City</w:t>
      </w:r>
      <w:r w:rsidR="001A48CA">
        <w:t xml:space="preserve">. </w:t>
      </w:r>
    </w:p>
    <w:p w14:paraId="6801B234" w14:textId="77777777" w:rsidR="00FC0989" w:rsidRDefault="00A82517">
      <w:pPr>
        <w:spacing w:after="0" w:line="259" w:lineRule="auto"/>
        <w:ind w:left="720" w:firstLine="0"/>
      </w:pPr>
      <w:r>
        <w:t xml:space="preserve"> </w:t>
      </w:r>
    </w:p>
    <w:p w14:paraId="0506FAAF" w14:textId="46859130" w:rsidR="00FC0989" w:rsidRDefault="00FC0989" w:rsidP="0071759A">
      <w:pPr>
        <w:ind w:left="1425" w:firstLine="0"/>
      </w:pPr>
    </w:p>
    <w:sectPr w:rsidR="00FC0989" w:rsidSect="00A030FF">
      <w:footerReference w:type="even" r:id="rId7"/>
      <w:footerReference w:type="default" r:id="rId8"/>
      <w:foot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FCF1" w14:textId="77777777" w:rsidR="00A030FF" w:rsidRDefault="00A030FF">
      <w:pPr>
        <w:spacing w:after="0" w:line="240" w:lineRule="auto"/>
      </w:pPr>
      <w:r>
        <w:separator/>
      </w:r>
    </w:p>
  </w:endnote>
  <w:endnote w:type="continuationSeparator" w:id="0">
    <w:p w14:paraId="64599199" w14:textId="77777777" w:rsidR="00A030FF" w:rsidRDefault="00A0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4BD" w14:textId="77777777" w:rsidR="00FC0989" w:rsidRDefault="00A82517">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7E4603FA" w14:textId="77777777" w:rsidR="00FC0989" w:rsidRDefault="00A8251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4CE5" w14:textId="77777777" w:rsidR="00FC0989" w:rsidRDefault="00A82517">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72B9AC94" w14:textId="77777777" w:rsidR="00FC0989" w:rsidRDefault="00A8251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B6D4" w14:textId="77777777" w:rsidR="00FC0989" w:rsidRDefault="00A82517">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16ACA70E" w14:textId="77777777" w:rsidR="00FC0989" w:rsidRDefault="00A8251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1606" w14:textId="77777777" w:rsidR="00A030FF" w:rsidRDefault="00A030FF">
      <w:pPr>
        <w:spacing w:after="0" w:line="240" w:lineRule="auto"/>
      </w:pPr>
      <w:r>
        <w:separator/>
      </w:r>
    </w:p>
  </w:footnote>
  <w:footnote w:type="continuationSeparator" w:id="0">
    <w:p w14:paraId="279F2DE7" w14:textId="77777777" w:rsidR="00A030FF" w:rsidRDefault="00A0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B6"/>
    <w:multiLevelType w:val="hybridMultilevel"/>
    <w:tmpl w:val="7D720C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D400FC4"/>
    <w:multiLevelType w:val="hybridMultilevel"/>
    <w:tmpl w:val="08A4D108"/>
    <w:lvl w:ilvl="0" w:tplc="CB64556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6CC9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7A0F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8291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40E1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6447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E4C90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622BE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E8DFF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36693"/>
    <w:multiLevelType w:val="hybridMultilevel"/>
    <w:tmpl w:val="C532A7D8"/>
    <w:lvl w:ilvl="0" w:tplc="8F9CDC8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EE0D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05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8E15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AF1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523C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B27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08C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0BE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8E04A0"/>
    <w:multiLevelType w:val="hybridMultilevel"/>
    <w:tmpl w:val="3DBE2BBC"/>
    <w:lvl w:ilvl="0" w:tplc="357C5FB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B2A00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36226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6CDBA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2AB1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0DE0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A4BF8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8FF2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3A72E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7E6EDE"/>
    <w:multiLevelType w:val="hybridMultilevel"/>
    <w:tmpl w:val="F0D829CE"/>
    <w:lvl w:ilvl="0" w:tplc="30AA7ABE">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402A2">
      <w:start w:val="1"/>
      <w:numFmt w:val="lowerLetter"/>
      <w:lvlText w:val="%2"/>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20C84">
      <w:start w:val="1"/>
      <w:numFmt w:val="lowerRoman"/>
      <w:lvlText w:val="%3"/>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085EE">
      <w:start w:val="1"/>
      <w:numFmt w:val="decimal"/>
      <w:lvlText w:val="%4"/>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A8864">
      <w:start w:val="1"/>
      <w:numFmt w:val="lowerLetter"/>
      <w:lvlText w:val="%5"/>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A13D2">
      <w:start w:val="1"/>
      <w:numFmt w:val="lowerRoman"/>
      <w:lvlText w:val="%6"/>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02EE8">
      <w:start w:val="1"/>
      <w:numFmt w:val="decimal"/>
      <w:lvlText w:val="%7"/>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041A0">
      <w:start w:val="1"/>
      <w:numFmt w:val="lowerLetter"/>
      <w:lvlText w:val="%8"/>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6334E">
      <w:start w:val="1"/>
      <w:numFmt w:val="lowerRoman"/>
      <w:lvlText w:val="%9"/>
      <w:lvlJc w:val="left"/>
      <w:pPr>
        <w:ind w:left="7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CE1673"/>
    <w:multiLevelType w:val="hybridMultilevel"/>
    <w:tmpl w:val="F654B348"/>
    <w:lvl w:ilvl="0" w:tplc="4072C45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AC9F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A06E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6167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EB45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12E67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28E83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8626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74CB1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4B033E"/>
    <w:multiLevelType w:val="hybridMultilevel"/>
    <w:tmpl w:val="0DF0137E"/>
    <w:lvl w:ilvl="0" w:tplc="364C5BEC">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83B5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AB91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8982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2DF7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892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291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8C78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4232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515001"/>
    <w:multiLevelType w:val="hybridMultilevel"/>
    <w:tmpl w:val="1CAA039C"/>
    <w:lvl w:ilvl="0" w:tplc="D9A05C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52F33A">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80A8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DE68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0051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A20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62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BED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EA4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44843874">
    <w:abstractNumId w:val="5"/>
  </w:num>
  <w:num w:numId="2" w16cid:durableId="631636425">
    <w:abstractNumId w:val="7"/>
  </w:num>
  <w:num w:numId="3" w16cid:durableId="1826508364">
    <w:abstractNumId w:val="2"/>
  </w:num>
  <w:num w:numId="4" w16cid:durableId="1195539486">
    <w:abstractNumId w:val="4"/>
  </w:num>
  <w:num w:numId="5" w16cid:durableId="828980333">
    <w:abstractNumId w:val="6"/>
  </w:num>
  <w:num w:numId="6" w16cid:durableId="565143874">
    <w:abstractNumId w:val="3"/>
  </w:num>
  <w:num w:numId="7" w16cid:durableId="710611357">
    <w:abstractNumId w:val="1"/>
  </w:num>
  <w:num w:numId="8" w16cid:durableId="89019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89"/>
    <w:rsid w:val="0003059A"/>
    <w:rsid w:val="001579EA"/>
    <w:rsid w:val="00185EF4"/>
    <w:rsid w:val="001A48CA"/>
    <w:rsid w:val="001A68B1"/>
    <w:rsid w:val="00213BA2"/>
    <w:rsid w:val="004A6A35"/>
    <w:rsid w:val="00592CD6"/>
    <w:rsid w:val="00620ADC"/>
    <w:rsid w:val="0071759A"/>
    <w:rsid w:val="008D6375"/>
    <w:rsid w:val="009A4243"/>
    <w:rsid w:val="00A030FF"/>
    <w:rsid w:val="00A82517"/>
    <w:rsid w:val="00AF312B"/>
    <w:rsid w:val="00C2582C"/>
    <w:rsid w:val="00D6363F"/>
    <w:rsid w:val="00DA14F1"/>
    <w:rsid w:val="00EB1B66"/>
    <w:rsid w:val="00F03A09"/>
    <w:rsid w:val="00FC0989"/>
    <w:rsid w:val="00FE0737"/>
    <w:rsid w:val="00FE0E0C"/>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89EE"/>
  <w15:docId w15:val="{B1D60161-FA99-4982-B2AC-6C21127C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Revision">
    <w:name w:val="Revision"/>
    <w:hidden/>
    <w:uiPriority w:val="99"/>
    <w:semiHidden/>
    <w:rsid w:val="00AF312B"/>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F312B"/>
    <w:rPr>
      <w:sz w:val="16"/>
      <w:szCs w:val="16"/>
    </w:rPr>
  </w:style>
  <w:style w:type="paragraph" w:styleId="CommentText">
    <w:name w:val="annotation text"/>
    <w:basedOn w:val="Normal"/>
    <w:link w:val="CommentTextChar"/>
    <w:uiPriority w:val="99"/>
    <w:unhideWhenUsed/>
    <w:rsid w:val="00AF312B"/>
    <w:pPr>
      <w:spacing w:line="240" w:lineRule="auto"/>
    </w:pPr>
    <w:rPr>
      <w:sz w:val="20"/>
      <w:szCs w:val="20"/>
    </w:rPr>
  </w:style>
  <w:style w:type="character" w:customStyle="1" w:styleId="CommentTextChar">
    <w:name w:val="Comment Text Char"/>
    <w:basedOn w:val="DefaultParagraphFont"/>
    <w:link w:val="CommentText"/>
    <w:uiPriority w:val="99"/>
    <w:rsid w:val="00AF31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F312B"/>
    <w:rPr>
      <w:b/>
      <w:bCs/>
    </w:rPr>
  </w:style>
  <w:style w:type="character" w:customStyle="1" w:styleId="CommentSubjectChar">
    <w:name w:val="Comment Subject Char"/>
    <w:basedOn w:val="CommentTextChar"/>
    <w:link w:val="CommentSubject"/>
    <w:uiPriority w:val="99"/>
    <w:semiHidden/>
    <w:rsid w:val="00AF312B"/>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9A4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Pickarski</dc:creator>
  <cp:keywords/>
  <cp:lastModifiedBy>Steven Pickarski</cp:lastModifiedBy>
  <cp:revision>2</cp:revision>
  <cp:lastPrinted>2024-02-01T21:39:00Z</cp:lastPrinted>
  <dcterms:created xsi:type="dcterms:W3CDTF">2024-02-05T17:30:00Z</dcterms:created>
  <dcterms:modified xsi:type="dcterms:W3CDTF">2024-02-05T17:30:00Z</dcterms:modified>
</cp:coreProperties>
</file>